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AA" w:rsidRDefault="00772AAA" w:rsidP="00772AAA">
      <w:pPr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Dôvodová správa</w:t>
      </w:r>
      <w:r>
        <w:rPr>
          <w:rFonts w:ascii="Arial" w:hAnsi="Arial" w:cs="Arial"/>
          <w:b/>
          <w:sz w:val="23"/>
          <w:szCs w:val="23"/>
          <w:u w:val="single"/>
        </w:rPr>
        <w:t xml:space="preserve"> k zámeru priameho predaja obecného majetku z dôvodu h</w:t>
      </w:r>
      <w:bookmarkStart w:id="0" w:name="_GoBack"/>
      <w:bookmarkEnd w:id="0"/>
      <w:r>
        <w:rPr>
          <w:rFonts w:ascii="Arial" w:hAnsi="Arial" w:cs="Arial"/>
          <w:b/>
          <w:sz w:val="23"/>
          <w:szCs w:val="23"/>
          <w:u w:val="single"/>
        </w:rPr>
        <w:t xml:space="preserve">odného osobitého zreteľa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</w:p>
    <w:p w:rsidR="00772AAA" w:rsidRDefault="00772AAA" w:rsidP="00772AAA">
      <w:pPr>
        <w:suppressAutoHyphens w:val="0"/>
        <w:ind w:left="360" w:firstLine="3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Predmet plánovaného odpredaja, t. j. parcely:</w:t>
      </w:r>
    </w:p>
    <w:p w:rsidR="00772AAA" w:rsidRDefault="00772AAA" w:rsidP="00772AAA">
      <w:pPr>
        <w:numPr>
          <w:ilvl w:val="0"/>
          <w:numId w:val="2"/>
        </w:num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Nehnuteľnosti nachádzajúce sa v k. ú. Polianka, ktoré sú evidované Okresným úradom Myjava, katastrálnym odborom nasledovne:</w:t>
      </w:r>
    </w:p>
    <w:p w:rsidR="00772AAA" w:rsidRDefault="00772AAA" w:rsidP="00772AAA">
      <w:pPr>
        <w:pBdr>
          <w:bottom w:val="single" w:sz="4" w:space="1" w:color="auto"/>
        </w:pBdr>
        <w:ind w:left="1068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sz w:val="23"/>
          <w:szCs w:val="23"/>
          <w:shd w:val="clear" w:color="auto" w:fill="FFFFFF"/>
        </w:rPr>
        <w:t>LV č. 2571</w:t>
      </w:r>
      <w:r>
        <w:rPr>
          <w:rFonts w:ascii="Arial" w:hAnsi="Arial" w:cs="Arial"/>
          <w:sz w:val="23"/>
          <w:szCs w:val="23"/>
          <w:shd w:val="clear" w:color="auto" w:fill="FFFFFF"/>
        </w:rPr>
        <w:tab/>
        <w:t>- parcely registra “C“</w:t>
      </w:r>
      <w:r>
        <w:rPr>
          <w:rFonts w:ascii="Arial" w:hAnsi="Arial" w:cs="Arial"/>
          <w:sz w:val="23"/>
          <w:szCs w:val="23"/>
          <w:shd w:val="clear" w:color="auto" w:fill="FFFFFF"/>
        </w:rPr>
        <w:tab/>
        <w:t xml:space="preserve">    - druh pozemku</w:t>
      </w:r>
      <w:r>
        <w:rPr>
          <w:rFonts w:ascii="Arial" w:hAnsi="Arial" w:cs="Arial"/>
          <w:sz w:val="23"/>
          <w:szCs w:val="23"/>
          <w:shd w:val="clear" w:color="auto" w:fill="FFFFFF"/>
        </w:rPr>
        <w:tab/>
        <w:t xml:space="preserve">        -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umiest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 pozemku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  <w:t xml:space="preserve">     parcela č. 7767 </w:t>
      </w:r>
      <w:r>
        <w:rPr>
          <w:rFonts w:ascii="Arial" w:hAnsi="Arial" w:cs="Arial"/>
          <w:bCs/>
          <w:sz w:val="23"/>
          <w:szCs w:val="23"/>
        </w:rPr>
        <w:tab/>
        <w:t xml:space="preserve">vo výmere 120 m2 </w:t>
      </w:r>
      <w:r>
        <w:rPr>
          <w:rFonts w:ascii="Arial" w:hAnsi="Arial" w:cs="Arial"/>
          <w:bCs/>
          <w:sz w:val="23"/>
          <w:szCs w:val="23"/>
        </w:rPr>
        <w:tab/>
        <w:t xml:space="preserve">   Zastavaná plocha a nádvorie</w:t>
      </w:r>
      <w:r>
        <w:rPr>
          <w:rFonts w:ascii="Arial" w:hAnsi="Arial" w:cs="Arial"/>
          <w:bCs/>
          <w:sz w:val="23"/>
          <w:szCs w:val="23"/>
        </w:rPr>
        <w:tab/>
        <w:t xml:space="preserve">1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  <w:t xml:space="preserve">     parcela č. 7789/1</w:t>
      </w:r>
      <w:r>
        <w:rPr>
          <w:rFonts w:ascii="Arial" w:hAnsi="Arial" w:cs="Arial"/>
          <w:bCs/>
          <w:sz w:val="23"/>
          <w:szCs w:val="23"/>
        </w:rPr>
        <w:tab/>
        <w:t xml:space="preserve">vo výmere   62 m2 </w:t>
      </w:r>
      <w:r>
        <w:rPr>
          <w:rFonts w:ascii="Arial" w:hAnsi="Arial" w:cs="Arial"/>
          <w:bCs/>
          <w:sz w:val="23"/>
          <w:szCs w:val="23"/>
        </w:rPr>
        <w:tab/>
        <w:t xml:space="preserve">   Zastavaná plocha a nádvorie</w:t>
      </w:r>
      <w:r>
        <w:rPr>
          <w:rFonts w:ascii="Arial" w:hAnsi="Arial" w:cs="Arial"/>
          <w:bCs/>
          <w:sz w:val="23"/>
          <w:szCs w:val="23"/>
        </w:rPr>
        <w:tab/>
        <w:t xml:space="preserve">1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                parcela č. 7789/5</w:t>
      </w:r>
      <w:r>
        <w:rPr>
          <w:rFonts w:ascii="Arial" w:hAnsi="Arial" w:cs="Arial"/>
          <w:bCs/>
          <w:sz w:val="23"/>
          <w:szCs w:val="23"/>
        </w:rPr>
        <w:tab/>
        <w:t xml:space="preserve">vo výmere 166 m2 </w:t>
      </w:r>
      <w:r>
        <w:rPr>
          <w:rFonts w:ascii="Arial" w:hAnsi="Arial" w:cs="Arial"/>
          <w:bCs/>
          <w:sz w:val="23"/>
          <w:szCs w:val="23"/>
        </w:rPr>
        <w:tab/>
        <w:t xml:space="preserve">   Zastavaná plocha a nádvorie</w:t>
      </w:r>
      <w:r>
        <w:rPr>
          <w:rFonts w:ascii="Arial" w:hAnsi="Arial" w:cs="Arial"/>
          <w:bCs/>
          <w:sz w:val="23"/>
          <w:szCs w:val="23"/>
        </w:rPr>
        <w:tab/>
        <w:t xml:space="preserve">1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</w:rPr>
        <w:t xml:space="preserve">                </w:t>
      </w:r>
      <w:r>
        <w:rPr>
          <w:rFonts w:ascii="Arial" w:hAnsi="Arial" w:cs="Arial"/>
          <w:bCs/>
          <w:sz w:val="23"/>
          <w:szCs w:val="23"/>
          <w:u w:val="single"/>
        </w:rPr>
        <w:t>parcela č. 7789/6</w:t>
      </w:r>
      <w:r>
        <w:rPr>
          <w:rFonts w:ascii="Arial" w:hAnsi="Arial" w:cs="Arial"/>
          <w:bCs/>
          <w:sz w:val="23"/>
          <w:szCs w:val="23"/>
          <w:u w:val="single"/>
        </w:rPr>
        <w:tab/>
        <w:t xml:space="preserve">vo výmere   14 m2 </w:t>
      </w:r>
      <w:r>
        <w:rPr>
          <w:rFonts w:ascii="Arial" w:hAnsi="Arial" w:cs="Arial"/>
          <w:bCs/>
          <w:sz w:val="23"/>
          <w:szCs w:val="23"/>
          <w:u w:val="single"/>
        </w:rPr>
        <w:tab/>
        <w:t xml:space="preserve">   Zastavaná plocha a nádvorie</w:t>
      </w:r>
      <w:r>
        <w:rPr>
          <w:rFonts w:ascii="Arial" w:hAnsi="Arial" w:cs="Arial"/>
          <w:bCs/>
          <w:sz w:val="23"/>
          <w:szCs w:val="23"/>
          <w:u w:val="single"/>
        </w:rPr>
        <w:tab/>
        <w:t xml:space="preserve">1             </w:t>
      </w:r>
      <w:r>
        <w:rPr>
          <w:rFonts w:ascii="Arial" w:hAnsi="Arial" w:cs="Arial"/>
          <w:bCs/>
          <w:sz w:val="2"/>
          <w:szCs w:val="2"/>
          <w:u w:val="single"/>
        </w:rPr>
        <w:t xml:space="preserve">.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</w:rPr>
        <w:t>Vlastníctvo</w:t>
      </w:r>
      <w:r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ab/>
        <w:t xml:space="preserve">pod B1 </w:t>
      </w:r>
      <w:r>
        <w:rPr>
          <w:rFonts w:ascii="Arial" w:hAnsi="Arial" w:cs="Arial"/>
          <w:bCs/>
          <w:sz w:val="23"/>
          <w:szCs w:val="23"/>
        </w:rPr>
        <w:tab/>
        <w:t>Obec Polianka</w:t>
      </w:r>
      <w:r>
        <w:rPr>
          <w:rFonts w:ascii="Arial" w:hAnsi="Arial" w:cs="Arial"/>
          <w:bCs/>
          <w:sz w:val="23"/>
          <w:szCs w:val="23"/>
        </w:rPr>
        <w:tab/>
        <w:t>v podiele 1/1 k</w:t>
      </w:r>
      <w:r>
        <w:rPr>
          <w:rFonts w:ascii="Arial" w:hAnsi="Arial" w:cs="Arial"/>
          <w:bCs/>
          <w:sz w:val="23"/>
          <w:szCs w:val="23"/>
        </w:rPr>
        <w:t> </w:t>
      </w:r>
      <w:r>
        <w:rPr>
          <w:rFonts w:ascii="Arial" w:hAnsi="Arial" w:cs="Arial"/>
          <w:bCs/>
          <w:sz w:val="23"/>
          <w:szCs w:val="23"/>
        </w:rPr>
        <w:t>celku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</w:p>
    <w:p w:rsidR="00772AAA" w:rsidRDefault="00772AAA" w:rsidP="00772AAA">
      <w:p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12"/>
          <w:szCs w:val="12"/>
        </w:rPr>
      </w:pPr>
    </w:p>
    <w:p w:rsidR="00772AAA" w:rsidRDefault="00772AAA" w:rsidP="00772AAA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Nehnuteľnosti zamerané Geometrickým plánom č. 63/2024, ktorý dňa 24.05.2024 autorizačne overil Ing. Zdenko Vávra a ktorý bol dňa 29,05.2024 úradne overený Okresným úradom Myjava, katastrálnym odborom pod číslom overenia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06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G1-234/2024:</w:t>
      </w:r>
    </w:p>
    <w:p w:rsidR="00772AAA" w:rsidRDefault="00772AAA" w:rsidP="00772AAA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parcela KN-C č. 7768/1 vo výmere 322 m2 Zastavaná plocha a nádvorie;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pričom parcela KN-C č. 7768/1 sa ako diel 1 odčlenila od pôvodnej parcely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KN-C č. 7768</w:t>
      </w:r>
    </w:p>
    <w:p w:rsidR="00772AAA" w:rsidRDefault="00772AAA" w:rsidP="00772AAA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parcela KN-C č. 7995/4 vo výmere 196 m2 Zastavaná plocha a nádvorie;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pričom parcela KN-C č. 7995/4 sa ako diel 4 (11 m2) a diel 5 (185 m2) odčlenili od pôvodných parciel KN-C č. 7768 (diel 4) a KN-C č. 7795/2 (diel 5)</w:t>
      </w:r>
    </w:p>
    <w:p w:rsidR="00772AAA" w:rsidRDefault="00772AAA" w:rsidP="00772AAA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parcela KN-C č. 7995/5 vo výmere 28 m2 Zastavaná plocha a nádvorie;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pričom parcela KN-C č. 7995/5 sa ako diel 6 odčlenila od pôvodnej parcely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KN-C č. 7995/2</w:t>
      </w:r>
    </w:p>
    <w:p w:rsidR="00772AAA" w:rsidRDefault="00772AAA" w:rsidP="00772AAA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parcela KN-C č. 7995/6 vo výmere 16 m2 Zastavaná plocha a nádvorie;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pričom parcela KN-C č. 7995/6 sa ako diel 7 odčlenila od pôvodnej parcely </w:t>
      </w:r>
    </w:p>
    <w:p w:rsidR="00772AAA" w:rsidRDefault="00772AAA" w:rsidP="00772AAA">
      <w:pPr>
        <w:shd w:val="clear" w:color="auto" w:fill="FFFFFF"/>
        <w:suppressAutoHyphens w:val="0"/>
        <w:spacing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KN-C č. 7995/2</w:t>
      </w:r>
    </w:p>
    <w:p w:rsidR="00772AAA" w:rsidRDefault="00772AAA" w:rsidP="00772AAA">
      <w:pPr>
        <w:shd w:val="clear" w:color="auto" w:fill="FFFFFF"/>
        <w:suppressAutoHyphens w:val="0"/>
        <w:spacing w:before="240" w:line="276" w:lineRule="auto"/>
        <w:ind w:left="1428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( Pôvodné parcely KN-C č. 7768 a 7995/2 sú v podiele 1/1 k celku vo vlastníctve Obce Polianka, pričom právny vzťah k týmto nehnuteľnostiam je evidovaný v k. ú. Polianka na LV č. 2571)</w:t>
      </w:r>
    </w:p>
    <w:p w:rsidR="00772AAA" w:rsidRDefault="00772AAA" w:rsidP="00772AAA">
      <w:pPr>
        <w:suppressAutoHyphens w:val="0"/>
        <w:ind w:left="360" w:firstLine="3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772AAA" w:rsidRDefault="00772AAA" w:rsidP="00772AAA">
      <w:pPr>
        <w:numPr>
          <w:ilvl w:val="0"/>
          <w:numId w:val="1"/>
        </w:numPr>
        <w:suppressAutoHyphens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neboli Obcou Polianka nikdy  využívané – tieto nehnuteľnosti  nie sú vhodné pre verejnoprospešné účely a zároveň netvoria prístup k iným nehnuteľnostiam - ich odpredajom sa nezabraňuje prípadnému prechodu či prejazdu vlastníkom iných nehnuteľností. </w:t>
      </w:r>
    </w:p>
    <w:p w:rsidR="00772AAA" w:rsidRDefault="00772AAA" w:rsidP="00772AAA">
      <w:pPr>
        <w:numPr>
          <w:ilvl w:val="0"/>
          <w:numId w:val="1"/>
        </w:numPr>
        <w:suppressAutoHyphens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susedia s nehnuteľnosťami – parcelami KN-C 1958, 7785/1, 7791/1,  ktoré sú vo vlastníctve p. Zemana; právny vzťah k týmto nehnuteľnostiam je evidovaný v k. ú. Polianka na LV č. 312. Pán Zeman predmet plánovaného odpredaja dlhodobo kosí, čistí a udržiava. </w:t>
      </w:r>
    </w:p>
    <w:p w:rsidR="00772AAA" w:rsidRDefault="00772AAA" w:rsidP="00772AAA">
      <w:pPr>
        <w:numPr>
          <w:ilvl w:val="0"/>
          <w:numId w:val="1"/>
        </w:numPr>
        <w:suppressAutoHyphens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Spôsob prevodu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nehnuteľného majetku vo vlastníctve Obce Polianka, t. j. </w:t>
      </w:r>
      <w:bookmarkStart w:id="1" w:name="_Hlk171417035"/>
      <w:r>
        <w:rPr>
          <w:rFonts w:ascii="Arial" w:hAnsi="Arial" w:cs="Arial"/>
          <w:sz w:val="23"/>
          <w:szCs w:val="23"/>
          <w:shd w:val="clear" w:color="auto" w:fill="FFFFFF"/>
        </w:rPr>
        <w:t xml:space="preserve">parciel KN-C č. 7767, 7789/1, 7789/5, 7789/6, 7768/1, 7995/4, 7995/5 a 7995/6   </w:t>
      </w:r>
      <w:bookmarkEnd w:id="1"/>
      <w:r>
        <w:rPr>
          <w:rFonts w:ascii="Arial" w:hAnsi="Arial" w:cs="Arial"/>
          <w:sz w:val="23"/>
          <w:szCs w:val="23"/>
          <w:shd w:val="clear" w:color="auto" w:fill="FFFFFF"/>
        </w:rPr>
        <w:t>a to z dôvodu hodného osobitného zreteľa v súlade s § 9a ods. 15 písm. f) zákona č. 138/1991 Zb. o majetku obcí v znení neskorších predpisov bol schválený uznesením obecného zastupiteľstva č. 14/2024 zo dňa 16.04.2024</w:t>
      </w:r>
      <w:r>
        <w:rPr>
          <w:rFonts w:ascii="Arial" w:hAnsi="Arial" w:cs="Arial"/>
          <w:sz w:val="23"/>
          <w:szCs w:val="23"/>
        </w:rPr>
        <w:t>.</w:t>
      </w:r>
    </w:p>
    <w:p w:rsidR="00BB66A5" w:rsidRDefault="00BB66A5"/>
    <w:p w:rsidR="00772AAA" w:rsidRDefault="00772AAA" w:rsidP="00772AAA">
      <w:pPr>
        <w:suppressAutoHyphens w:val="0"/>
        <w:rPr>
          <w:rFonts w:ascii="Arial" w:hAnsi="Arial" w:cs="Arial"/>
          <w:b/>
          <w:sz w:val="23"/>
          <w:szCs w:val="23"/>
        </w:rPr>
      </w:pPr>
    </w:p>
    <w:p w:rsidR="00772AAA" w:rsidRDefault="00772AAA" w:rsidP="00772AAA">
      <w:pPr>
        <w:suppressAutoHyphens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Stanovenie kúpnej ceny</w:t>
      </w:r>
    </w:p>
    <w:p w:rsidR="00772AAA" w:rsidRDefault="00772AAA" w:rsidP="00772AAA">
      <w:pPr>
        <w:suppressAutoHyphens w:val="0"/>
        <w:ind w:firstLine="709"/>
        <w:jc w:val="both"/>
        <w:rPr>
          <w:rFonts w:ascii="Arial" w:hAnsi="Arial" w:cs="Arial"/>
          <w:sz w:val="23"/>
          <w:szCs w:val="23"/>
        </w:rPr>
      </w:pPr>
    </w:p>
    <w:p w:rsidR="00772AAA" w:rsidRDefault="00772AAA" w:rsidP="00772AAA">
      <w:pPr>
        <w:suppressAutoHyphens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Všeobecná hodnota predmetu plánovaného prevodu, t. j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parciel KN-C č. 7767, 7789/1, 7789/5, 7789/6, 7768/1, 7995/4, 7995/5 a 7995/6 </w:t>
      </w:r>
      <w:r>
        <w:rPr>
          <w:rFonts w:ascii="Arial" w:hAnsi="Arial" w:cs="Arial"/>
          <w:sz w:val="23"/>
          <w:szCs w:val="23"/>
        </w:rPr>
        <w:t xml:space="preserve">bola </w:t>
      </w:r>
      <w:bookmarkStart w:id="2" w:name="_Hlk171406946"/>
      <w:r>
        <w:rPr>
          <w:rFonts w:ascii="Arial" w:hAnsi="Arial" w:cs="Arial"/>
          <w:sz w:val="23"/>
          <w:szCs w:val="23"/>
        </w:rPr>
        <w:t xml:space="preserve">v súlade s prijatými zásadami hospodárenia s majetkom Obce Polianka ako aj s ustanoveniami zákona č. 138/1991 Zb. </w:t>
      </w:r>
      <w:bookmarkEnd w:id="2"/>
      <w:r>
        <w:rPr>
          <w:rFonts w:ascii="Arial" w:hAnsi="Arial" w:cs="Arial"/>
          <w:sz w:val="23"/>
          <w:szCs w:val="23"/>
        </w:rPr>
        <w:t xml:space="preserve">stanovená znaleckým posudkom č. 74/2024 vypracovaným Ing. Alžbetou </w:t>
      </w:r>
      <w:proofErr w:type="spellStart"/>
      <w:r>
        <w:rPr>
          <w:rFonts w:ascii="Arial" w:hAnsi="Arial" w:cs="Arial"/>
          <w:sz w:val="23"/>
          <w:szCs w:val="23"/>
        </w:rPr>
        <w:t>Jelínkovou</w:t>
      </w:r>
      <w:proofErr w:type="spellEnd"/>
      <w:r>
        <w:rPr>
          <w:rFonts w:ascii="Arial" w:hAnsi="Arial" w:cs="Arial"/>
          <w:sz w:val="23"/>
          <w:szCs w:val="23"/>
        </w:rPr>
        <w:t xml:space="preserve"> na celkovú sumu 7706,16,-€. Na základe uvedeného znaleckého posudku č. 74/2024, v súlade s prijatými zásadami hospodárenia s majetkom Obce Polianka ako aj s ustanoveniami zákona č. 138/1991 Zb.  bola kúpna cena predmetu plánovaného prevodu schválená uznesením  obecného zastupiteľstva Obce Polianka č. 29/2024 zo dňa 04.07.2024 na celkovú kúpnu cenu v sume 7940,00,-€ (slovom sedemtisícdeväťstoštyridsať EUR)</w:t>
      </w:r>
    </w:p>
    <w:p w:rsidR="00772AAA" w:rsidRDefault="00772AAA" w:rsidP="00772AAA">
      <w:pPr>
        <w:suppressAutoHyphens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772AAA" w:rsidRDefault="00772AAA"/>
    <w:sectPr w:rsidR="0077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547C"/>
    <w:multiLevelType w:val="hybridMultilevel"/>
    <w:tmpl w:val="158E69B4"/>
    <w:lvl w:ilvl="0" w:tplc="E724DDCA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CF3F3E"/>
    <w:multiLevelType w:val="hybridMultilevel"/>
    <w:tmpl w:val="80C8EA5E"/>
    <w:lvl w:ilvl="0" w:tplc="574C66DC">
      <w:start w:val="1"/>
      <w:numFmt w:val="upp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74492"/>
    <w:multiLevelType w:val="hybridMultilevel"/>
    <w:tmpl w:val="C6C050C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AA"/>
    <w:rsid w:val="00772AAA"/>
    <w:rsid w:val="00B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38F"/>
  <w15:chartTrackingRefBased/>
  <w15:docId w15:val="{E877ED1F-3069-4867-AEFC-901A32F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72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1</cp:revision>
  <dcterms:created xsi:type="dcterms:W3CDTF">2024-07-10T07:19:00Z</dcterms:created>
  <dcterms:modified xsi:type="dcterms:W3CDTF">2024-07-10T07:26:00Z</dcterms:modified>
</cp:coreProperties>
</file>